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45" w:rsidRPr="00404745" w:rsidRDefault="00404745" w:rsidP="009934C4">
      <w:pPr>
        <w:spacing w:before="100" w:beforeAutospacing="1" w:after="100" w:afterAutospacing="1" w:line="240" w:lineRule="atLeast"/>
        <w:outlineLvl w:val="0"/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</w:pPr>
      <w:r w:rsidRPr="00404745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Допустимые отклонения при ремонте и отделке квартир, офисов и загородных домов</w:t>
      </w:r>
    </w:p>
    <w:p w:rsidR="00D26682" w:rsidRDefault="00404745" w:rsidP="009934C4">
      <w:pPr>
        <w:rPr>
          <w:rFonts w:ascii="Verdana" w:hAnsi="Verdana"/>
          <w:color w:val="000000"/>
          <w:sz w:val="17"/>
          <w:szCs w:val="17"/>
          <w:shd w:val="clear" w:color="auto" w:fill="CFC5C1"/>
        </w:rPr>
      </w:pPr>
      <w:r w:rsidRPr="009934C4">
        <w:rPr>
          <w:rFonts w:ascii="Verdana" w:hAnsi="Verdana"/>
          <w:color w:val="000000"/>
          <w:sz w:val="17"/>
          <w:szCs w:val="17"/>
        </w:rPr>
        <w:t>В этой таблице в обобщенном виде представлены возможные допустимые отклонения в случае производства ремонтно-отделочных работ. Информация получена путем анализа различных строительных правил (как правило,</w:t>
      </w:r>
      <w:r w:rsidRPr="009934C4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9934C4">
        <w:rPr>
          <w:rStyle w:val="a3"/>
          <w:rFonts w:ascii="Verdana" w:hAnsi="Verdana"/>
          <w:color w:val="000000"/>
          <w:sz w:val="17"/>
          <w:szCs w:val="17"/>
        </w:rPr>
        <w:t>СНиП 3.04.01-87</w:t>
      </w:r>
      <w:r w:rsidRPr="009934C4">
        <w:rPr>
          <w:rFonts w:ascii="Verdana" w:hAnsi="Verdana"/>
          <w:color w:val="000000"/>
          <w:sz w:val="17"/>
          <w:szCs w:val="17"/>
        </w:rPr>
        <w:t>) и технических условий.</w:t>
      </w:r>
    </w:p>
    <w:p w:rsidR="00404745" w:rsidRPr="00404745" w:rsidRDefault="00404745" w:rsidP="009934C4">
      <w:pPr>
        <w:pStyle w:val="a4"/>
        <w:numPr>
          <w:ilvl w:val="0"/>
          <w:numId w:val="1"/>
        </w:numPr>
        <w:rPr>
          <w:rStyle w:val="a3"/>
          <w:rFonts w:ascii="Verdana" w:hAnsi="Verdana"/>
          <w:color w:val="000000"/>
          <w:sz w:val="17"/>
          <w:szCs w:val="17"/>
          <w:shd w:val="clear" w:color="auto" w:fill="CFC5C1"/>
        </w:rPr>
      </w:pPr>
      <w:r w:rsidRPr="009934C4">
        <w:rPr>
          <w:rStyle w:val="a3"/>
          <w:rFonts w:ascii="Verdana" w:hAnsi="Verdana"/>
          <w:color w:val="000000"/>
          <w:sz w:val="17"/>
          <w:szCs w:val="17"/>
        </w:rPr>
        <w:t>«Полы» — допустимые отклонения.</w:t>
      </w:r>
    </w:p>
    <w:tbl>
      <w:tblPr>
        <w:tblW w:w="7500" w:type="dxa"/>
        <w:tblBorders>
          <w:top w:val="single" w:sz="6" w:space="0" w:color="DDD7D4"/>
          <w:left w:val="single" w:sz="6" w:space="0" w:color="DDD7D4"/>
          <w:bottom w:val="single" w:sz="6" w:space="0" w:color="DDD7D4"/>
          <w:right w:val="single" w:sz="6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3"/>
        <w:gridCol w:w="1107"/>
      </w:tblGrid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Макс.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Стяжка</w:t>
            </w:r>
            <w:r w:rsidR="009934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</w:t>
            </w:r>
            <w:bookmarkStart w:id="0" w:name="_GoBack"/>
            <w:bookmarkEnd w:id="0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отклонение толщины от проектной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Стяжка под паркет, </w:t>
            </w:r>
            <w:proofErr w:type="spell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ламинат</w:t>
            </w:r>
            <w:proofErr w:type="spell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линолеум (а также согласно СП 29.13330.2011 «Полы» — под покрытия на клеевой прослойке на основе цемента): просвет при проверке 2-метровой рейкой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4.24,</w:t>
            </w: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СП 29.13330.2011 «Полы» п. 8.13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Стяжка под гидроизоляцию: просвет при проверке 2-метровой рейкой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4.24,</w:t>
            </w: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СП 29.13330.2011 «Полы», п. 8.13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Стяжка под иные поверхности: просвет при проверке 2-метровой рейкой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4.24,</w:t>
            </w: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 СП 29.13330.2011 «Полы» </w:t>
            </w:r>
            <w:r w:rsidRPr="0040474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Стяжка: отклонение от заданной горизонтали не более от размера помещения (в общей сложности не более 50 мм) 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4.24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0,20 %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Керамическая плитка: отклонение по толщине покрытия </w:t>
            </w:r>
            <w:proofErr w:type="gram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проектной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3.04.01-88,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Керамическая плитка: при проверке 2-метровой рейкой просвет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Керамическая плитка: уступы между рядом уложенными плитками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Керамическая плитка: отклонение от горизонтали не </w:t>
            </w:r>
            <w:proofErr w:type="gram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более указанной</w:t>
            </w:r>
            <w:proofErr w:type="gram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величины от размера помещения (но не свыше 50 мм)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0,20 %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Керамическая плитка: ширина швов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Штучный паркет: площадь приклейки планки не менее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4.38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Штучный паркет: отклонение от заданного уклона не более от размера помещения (в </w:t>
            </w:r>
            <w:proofErr w:type="gram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общем</w:t>
            </w:r>
            <w:proofErr w:type="gram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не более 50 мм)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0,20 %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Штучный паркет: отклонение от плоскости на 2 м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СНиП 3.04.01-87,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Штучный паркет: зазоры между смежными штучными планками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4.43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0,3 мм</w:t>
            </w:r>
          </w:p>
        </w:tc>
      </w:tr>
    </w:tbl>
    <w:p w:rsidR="00404745" w:rsidRPr="00404745" w:rsidRDefault="00404745" w:rsidP="009934C4">
      <w:pPr>
        <w:numPr>
          <w:ilvl w:val="0"/>
          <w:numId w:val="2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Стяжка</w:t>
      </w: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не должна иметь выбоин, вздутий и трещин. Допускается наличие волосяных трещин.</w:t>
      </w:r>
    </w:p>
    <w:p w:rsidR="00404745" w:rsidRPr="00404745" w:rsidRDefault="00404745" w:rsidP="009934C4">
      <w:pPr>
        <w:numPr>
          <w:ilvl w:val="0"/>
          <w:numId w:val="2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отсутствии сцепления стяжки или керамической плитки с подлежащим основанием (определяется путем простукивания) такие участки должны быть переложены.</w:t>
      </w:r>
    </w:p>
    <w:p w:rsidR="00404745" w:rsidRPr="00404745" w:rsidRDefault="00404745" w:rsidP="009934C4">
      <w:pPr>
        <w:numPr>
          <w:ilvl w:val="0"/>
          <w:numId w:val="2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укладке штучного паркета не допускаются уступы между смежными планками.</w:t>
      </w:r>
    </w:p>
    <w:p w:rsidR="00404745" w:rsidRPr="00404745" w:rsidRDefault="00404745" w:rsidP="009934C4">
      <w:pPr>
        <w:numPr>
          <w:ilvl w:val="0"/>
          <w:numId w:val="2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Внимание!</w:t>
      </w: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20.05.2011 введен в действие актуализированный свод правил СП 29.13330.2011 «Полы». Данный свод правил в п. 1.4 содержит указание на то, что </w:t>
      </w:r>
      <w:r w:rsidRPr="004047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строительно-монтажные</w:t>
      </w: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работы по изготовлению полов должны осуществляться в соответствии со СНиП 3.04.01.</w:t>
      </w:r>
    </w:p>
    <w:p w:rsidR="00404745" w:rsidRPr="00404745" w:rsidRDefault="00404745" w:rsidP="009934C4">
      <w:pPr>
        <w:spacing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4047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 «Штукатурные работы» — допустимые отклонения.</w:t>
      </w:r>
    </w:p>
    <w:tbl>
      <w:tblPr>
        <w:tblW w:w="7500" w:type="dxa"/>
        <w:tblBorders>
          <w:top w:val="single" w:sz="6" w:space="0" w:color="DDD7D4"/>
          <w:left w:val="single" w:sz="6" w:space="0" w:color="DDD7D4"/>
          <w:bottom w:val="single" w:sz="6" w:space="0" w:color="DDD7D4"/>
          <w:right w:val="single" w:sz="6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3"/>
        <w:gridCol w:w="1107"/>
      </w:tblGrid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Макс.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9934C4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404745" w:rsidRPr="00404745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Штукатурка улучшенная</w:t>
              </w:r>
            </w:hyperlink>
            <w:r w:rsidR="00404745"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 отклонение от вертикали на 1 м длины (и не более 10 мм на всю высоту)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3.12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9934C4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404745" w:rsidRPr="00404745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Штукатурка улучшенная</w:t>
              </w:r>
            </w:hyperlink>
            <w:r w:rsidR="00404745"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 отклонение от горизонтали на 1 м длины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3.12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9934C4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404745" w:rsidRPr="00404745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Штукатурка улучшенная</w:t>
              </w:r>
            </w:hyperlink>
            <w:r w:rsidR="00404745"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 неровностей плавного очертания на 4 м при глубине до 3 мм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3.12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Штукатурка улучшенная: влажность подлежащего основания не более (кирпич, камень)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3.12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Откосы (дверные, оконные): расхождение по ширине от проектных показателей при улучшенной штукатурке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3.12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мм</w:t>
            </w:r>
          </w:p>
        </w:tc>
      </w:tr>
    </w:tbl>
    <w:p w:rsidR="00404745" w:rsidRPr="00404745" w:rsidRDefault="00404745" w:rsidP="009934C4">
      <w:pPr>
        <w:numPr>
          <w:ilvl w:val="0"/>
          <w:numId w:val="3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Действующие нормативы предусматривают три вида штукатурки — простую, улучшенную и высококачественную.</w:t>
      </w:r>
    </w:p>
    <w:p w:rsidR="00404745" w:rsidRPr="00404745" w:rsidRDefault="00404745" w:rsidP="009934C4">
      <w:pPr>
        <w:spacing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4047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 «Облицовка керамической плиткой» — допустимые отклонения.</w:t>
      </w:r>
    </w:p>
    <w:tbl>
      <w:tblPr>
        <w:tblW w:w="7500" w:type="dxa"/>
        <w:tblBorders>
          <w:top w:val="single" w:sz="6" w:space="0" w:color="DDD7D4"/>
          <w:left w:val="single" w:sz="6" w:space="0" w:color="DDD7D4"/>
          <w:bottom w:val="single" w:sz="6" w:space="0" w:color="DDD7D4"/>
          <w:right w:val="single" w:sz="6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3"/>
        <w:gridCol w:w="1107"/>
      </w:tblGrid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Макс.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Облицовка керамической плиткой: сколы в швах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3.67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Облицовка керамической плиткой: отклонения от вертикали на 1 м длины (максимально на этаж 4 мм)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3.62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Облицовка керамической плиткой: неровности плоскости на 2 м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3.62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Облицовка керамической плиткой: отклонения швов от вертикали и горизонтали на 1 м длины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3.62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 мм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Облицовка керамической плиткой: отклонение ширины шва </w:t>
            </w:r>
            <w:proofErr w:type="gram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предусмотренной проектом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3.62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+/- 0,5 мм</w:t>
            </w:r>
          </w:p>
        </w:tc>
      </w:tr>
    </w:tbl>
    <w:p w:rsidR="00404745" w:rsidRPr="00404745" w:rsidRDefault="00404745" w:rsidP="009934C4">
      <w:pPr>
        <w:numPr>
          <w:ilvl w:val="0"/>
          <w:numId w:val="4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Горизонтальные и вертикальные швы должны быть однотипны, однорядны и равномерны по ширине (СНиП 3.04.01-87 п. 3.67)</w:t>
      </w:r>
    </w:p>
    <w:p w:rsidR="00404745" w:rsidRPr="00404745" w:rsidRDefault="00404745" w:rsidP="009934C4">
      <w:pPr>
        <w:spacing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4047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4. «Малярные работы» — допустимые отклонения.</w:t>
      </w:r>
    </w:p>
    <w:tbl>
      <w:tblPr>
        <w:tblW w:w="7500" w:type="dxa"/>
        <w:tblBorders>
          <w:top w:val="single" w:sz="6" w:space="0" w:color="DDD7D4"/>
          <w:left w:val="single" w:sz="6" w:space="0" w:color="DDD7D4"/>
          <w:bottom w:val="single" w:sz="6" w:space="0" w:color="DDD7D4"/>
          <w:right w:val="single" w:sz="6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3"/>
        <w:gridCol w:w="1107"/>
      </w:tblGrid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Макс.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Малярные работы: влажность оштукатуренного или </w:t>
            </w:r>
            <w:proofErr w:type="spell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ошпатлеванного</w:t>
            </w:r>
            <w:proofErr w:type="spell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основания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3.12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Малярные работы: толщина покрытия не менее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3.28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 мкм</w:t>
            </w:r>
          </w:p>
        </w:tc>
      </w:tr>
    </w:tbl>
    <w:p w:rsidR="00404745" w:rsidRPr="00404745" w:rsidRDefault="00404745" w:rsidP="009934C4">
      <w:pPr>
        <w:numPr>
          <w:ilvl w:val="0"/>
          <w:numId w:val="5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результатам работ обеспечить однотонность и однородность окрашенных поверхностей: без пятен, брызг, подтеков, морщин (СНиП 3.04.01-87 п. 3.67).</w:t>
      </w:r>
    </w:p>
    <w:p w:rsidR="00404745" w:rsidRPr="00404745" w:rsidRDefault="00404745" w:rsidP="009934C4">
      <w:pPr>
        <w:numPr>
          <w:ilvl w:val="0"/>
          <w:numId w:val="5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допускается просвечивание подлежащих слоев краски (СНиП 3.04.01-87 п. 3.67).</w:t>
      </w:r>
    </w:p>
    <w:p w:rsidR="00404745" w:rsidRPr="00404745" w:rsidRDefault="00404745" w:rsidP="009934C4">
      <w:pPr>
        <w:spacing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4047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 «Оклеивание обоями» — допустимые отклонения.</w:t>
      </w:r>
    </w:p>
    <w:tbl>
      <w:tblPr>
        <w:tblW w:w="7500" w:type="dxa"/>
        <w:tblBorders>
          <w:top w:val="single" w:sz="6" w:space="0" w:color="DDD7D4"/>
          <w:left w:val="single" w:sz="6" w:space="0" w:color="DDD7D4"/>
          <w:bottom w:val="single" w:sz="6" w:space="0" w:color="DDD7D4"/>
          <w:right w:val="single" w:sz="6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3"/>
        <w:gridCol w:w="1107"/>
      </w:tblGrid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Макс.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Оклеивание стен обоями: остаточная влажность основания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3.12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8 %</w:t>
            </w:r>
          </w:p>
        </w:tc>
      </w:tr>
      <w:tr w:rsidR="00404745" w:rsidRPr="00404745" w:rsidTr="009934C4">
        <w:tc>
          <w:tcPr>
            <w:tcW w:w="61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Оклеивание стен обоями: отступления кромок не более (невидимы с расстояния 3м)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3.04.01-87, п. 3.67</w:t>
            </w:r>
          </w:p>
        </w:tc>
        <w:tc>
          <w:tcPr>
            <w:tcW w:w="1065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 мм</w:t>
            </w:r>
          </w:p>
        </w:tc>
      </w:tr>
    </w:tbl>
    <w:p w:rsidR="00404745" w:rsidRPr="00404745" w:rsidRDefault="00404745" w:rsidP="009934C4">
      <w:pPr>
        <w:numPr>
          <w:ilvl w:val="0"/>
          <w:numId w:val="6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Не допускается наличие воздушных пузырей, пятен, пропусков, </w:t>
      </w:r>
      <w:proofErr w:type="spellStart"/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доклейки</w:t>
      </w:r>
      <w:proofErr w:type="spellEnd"/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отслоений, а также заклейки обоями плинтусов, выключателей и розеток (СНиП 3.04.01-87 п. 3.67).</w:t>
      </w:r>
    </w:p>
    <w:p w:rsidR="00404745" w:rsidRPr="00404745" w:rsidRDefault="00404745" w:rsidP="009934C4">
      <w:pPr>
        <w:numPr>
          <w:ilvl w:val="0"/>
          <w:numId w:val="6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Обеспечить точную подгонку рисунка.</w:t>
      </w:r>
    </w:p>
    <w:p w:rsidR="00404745" w:rsidRPr="00404745" w:rsidRDefault="00404745" w:rsidP="009934C4">
      <w:pPr>
        <w:spacing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4047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6. «Прочее» — допустимые отклонения.</w:t>
      </w:r>
    </w:p>
    <w:tbl>
      <w:tblPr>
        <w:tblW w:w="7500" w:type="dxa"/>
        <w:tblBorders>
          <w:top w:val="single" w:sz="6" w:space="0" w:color="DDD7D4"/>
          <w:left w:val="single" w:sz="6" w:space="0" w:color="DDD7D4"/>
          <w:bottom w:val="single" w:sz="6" w:space="0" w:color="DDD7D4"/>
          <w:right w:val="single" w:sz="6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3"/>
        <w:gridCol w:w="1107"/>
      </w:tblGrid>
      <w:tr w:rsidR="00404745" w:rsidRPr="00404745" w:rsidTr="009934C4">
        <w:tc>
          <w:tcPr>
            <w:tcW w:w="6393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7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Макс.</w:t>
            </w:r>
          </w:p>
        </w:tc>
      </w:tr>
      <w:tr w:rsidR="00404745" w:rsidRPr="00404745" w:rsidTr="009934C4">
        <w:tc>
          <w:tcPr>
            <w:tcW w:w="6393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Установка подоконника: уклон верхней поверхности не менее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3.03.01-87</w:t>
            </w:r>
          </w:p>
        </w:tc>
        <w:tc>
          <w:tcPr>
            <w:tcW w:w="1107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1 %</w:t>
            </w:r>
          </w:p>
        </w:tc>
      </w:tr>
      <w:tr w:rsidR="00404745" w:rsidRPr="00404745" w:rsidTr="009934C4">
        <w:tc>
          <w:tcPr>
            <w:tcW w:w="6393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Дверная коробка: вертикальное отклонение не более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3.03.01-87</w:t>
            </w:r>
          </w:p>
        </w:tc>
        <w:tc>
          <w:tcPr>
            <w:tcW w:w="1107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мм</w:t>
            </w:r>
          </w:p>
        </w:tc>
      </w:tr>
      <w:tr w:rsidR="00404745" w:rsidRPr="00404745" w:rsidTr="009934C4">
        <w:tc>
          <w:tcPr>
            <w:tcW w:w="6393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Дверь внутренняя: </w:t>
            </w:r>
            <w:proofErr w:type="spell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отстояние</w:t>
            </w:r>
            <w:proofErr w:type="spell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пола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3.03.01-87</w:t>
            </w:r>
          </w:p>
        </w:tc>
        <w:tc>
          <w:tcPr>
            <w:tcW w:w="1107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 мм</w:t>
            </w:r>
          </w:p>
        </w:tc>
      </w:tr>
      <w:tr w:rsidR="00404745" w:rsidRPr="00404745" w:rsidTr="009934C4">
        <w:tc>
          <w:tcPr>
            <w:tcW w:w="6393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90" w:type="dxa"/>
              <w:left w:w="180" w:type="dxa"/>
              <w:bottom w:w="0" w:type="dxa"/>
              <w:right w:w="0" w:type="dxa"/>
            </w:tcMar>
            <w:hideMark/>
          </w:tcPr>
          <w:p w:rsidR="00404745" w:rsidRPr="00404745" w:rsidRDefault="00404745" w:rsidP="009934C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Дверь в сан</w:t>
            </w:r>
            <w:proofErr w:type="gram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зле: </w:t>
            </w:r>
            <w:proofErr w:type="spellStart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остояние</w:t>
            </w:r>
            <w:proofErr w:type="spellEnd"/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пола</w:t>
            </w:r>
          </w:p>
          <w:p w:rsidR="00404745" w:rsidRPr="00404745" w:rsidRDefault="00404745" w:rsidP="009934C4">
            <w:pPr>
              <w:spacing w:after="9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СНиП 3.03.01-87</w:t>
            </w:r>
          </w:p>
        </w:tc>
        <w:tc>
          <w:tcPr>
            <w:tcW w:w="1107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404745" w:rsidRPr="00404745" w:rsidRDefault="00404745" w:rsidP="009934C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047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 мм</w:t>
            </w:r>
          </w:p>
        </w:tc>
      </w:tr>
    </w:tbl>
    <w:p w:rsidR="00404745" w:rsidRPr="00404745" w:rsidRDefault="00404745" w:rsidP="009934C4">
      <w:pPr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составлении таблиц были использованы следующие документы, связанные с проведением работ по ремонту и отделке помещений в квартире:</w:t>
      </w:r>
    </w:p>
    <w:p w:rsidR="00404745" w:rsidRPr="00404745" w:rsidRDefault="00404745" w:rsidP="009934C4">
      <w:pPr>
        <w:numPr>
          <w:ilvl w:val="0"/>
          <w:numId w:val="7"/>
        </w:numPr>
        <w:spacing w:before="100" w:beforeAutospacing="1" w:after="100" w:afterAutospacing="1" w:line="240" w:lineRule="atLeast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Свод правил СП 29.13330</w:t>
      </w:r>
      <w:r w:rsidR="009934C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.2011 «Полы. СНиП 2.03.13-88» </w:t>
      </w:r>
    </w:p>
    <w:p w:rsidR="00404745" w:rsidRPr="00404745" w:rsidRDefault="00404745" w:rsidP="009934C4">
      <w:pPr>
        <w:numPr>
          <w:ilvl w:val="0"/>
          <w:numId w:val="7"/>
        </w:numPr>
        <w:spacing w:before="100" w:beforeAutospacing="1" w:after="100" w:afterAutospacing="1" w:line="240" w:lineRule="atLeast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3.04.01-87 «Изоляц</w:t>
      </w:r>
      <w:r w:rsidR="009934C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ионные и отделочные покрытия» </w:t>
      </w:r>
    </w:p>
    <w:p w:rsidR="00404745" w:rsidRDefault="00404745" w:rsidP="009934C4">
      <w:pPr>
        <w:pStyle w:val="a4"/>
        <w:ind w:left="420"/>
      </w:pPr>
    </w:p>
    <w:sectPr w:rsidR="0040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60E"/>
    <w:multiLevelType w:val="multilevel"/>
    <w:tmpl w:val="E432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F2957"/>
    <w:multiLevelType w:val="multilevel"/>
    <w:tmpl w:val="4DA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453"/>
    <w:multiLevelType w:val="multilevel"/>
    <w:tmpl w:val="44A0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B53"/>
    <w:multiLevelType w:val="multilevel"/>
    <w:tmpl w:val="E83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77ECE"/>
    <w:multiLevelType w:val="multilevel"/>
    <w:tmpl w:val="0C76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43E3F"/>
    <w:multiLevelType w:val="hybridMultilevel"/>
    <w:tmpl w:val="F788A578"/>
    <w:lvl w:ilvl="0" w:tplc="409046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6673BB"/>
    <w:multiLevelType w:val="multilevel"/>
    <w:tmpl w:val="480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8"/>
    <w:rsid w:val="00404745"/>
    <w:rsid w:val="005007D6"/>
    <w:rsid w:val="00967138"/>
    <w:rsid w:val="009934C4"/>
    <w:rsid w:val="00D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745"/>
  </w:style>
  <w:style w:type="character" w:styleId="a3">
    <w:name w:val="Strong"/>
    <w:basedOn w:val="a0"/>
    <w:uiPriority w:val="22"/>
    <w:qFormat/>
    <w:rsid w:val="00404745"/>
    <w:rPr>
      <w:b/>
      <w:bCs/>
    </w:rPr>
  </w:style>
  <w:style w:type="paragraph" w:styleId="a4">
    <w:name w:val="List Paragraph"/>
    <w:basedOn w:val="a"/>
    <w:uiPriority w:val="34"/>
    <w:qFormat/>
    <w:rsid w:val="004047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745"/>
    <w:rPr>
      <w:color w:val="0000FF"/>
      <w:u w:val="single"/>
    </w:rPr>
  </w:style>
  <w:style w:type="character" w:styleId="a6">
    <w:name w:val="Emphasis"/>
    <w:basedOn w:val="a0"/>
    <w:uiPriority w:val="20"/>
    <w:qFormat/>
    <w:rsid w:val="00404745"/>
    <w:rPr>
      <w:i/>
      <w:iCs/>
    </w:rPr>
  </w:style>
  <w:style w:type="paragraph" w:styleId="a7">
    <w:name w:val="Normal (Web)"/>
    <w:basedOn w:val="a"/>
    <w:uiPriority w:val="99"/>
    <w:semiHidden/>
    <w:unhideWhenUsed/>
    <w:rsid w:val="004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745"/>
  </w:style>
  <w:style w:type="character" w:styleId="a3">
    <w:name w:val="Strong"/>
    <w:basedOn w:val="a0"/>
    <w:uiPriority w:val="22"/>
    <w:qFormat/>
    <w:rsid w:val="00404745"/>
    <w:rPr>
      <w:b/>
      <w:bCs/>
    </w:rPr>
  </w:style>
  <w:style w:type="paragraph" w:styleId="a4">
    <w:name w:val="List Paragraph"/>
    <w:basedOn w:val="a"/>
    <w:uiPriority w:val="34"/>
    <w:qFormat/>
    <w:rsid w:val="004047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745"/>
    <w:rPr>
      <w:color w:val="0000FF"/>
      <w:u w:val="single"/>
    </w:rPr>
  </w:style>
  <w:style w:type="character" w:styleId="a6">
    <w:name w:val="Emphasis"/>
    <w:basedOn w:val="a0"/>
    <w:uiPriority w:val="20"/>
    <w:qFormat/>
    <w:rsid w:val="00404745"/>
    <w:rPr>
      <w:i/>
      <w:iCs/>
    </w:rPr>
  </w:style>
  <w:style w:type="paragraph" w:styleId="a7">
    <w:name w:val="Normal (Web)"/>
    <w:basedOn w:val="a"/>
    <w:uiPriority w:val="99"/>
    <w:semiHidden/>
    <w:unhideWhenUsed/>
    <w:rsid w:val="004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797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2124034840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630669764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403644757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515265089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75518293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45544360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210818759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019046655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360856531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2081630833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230916773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766800810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80840435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435909943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090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11529455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581721385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212356465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99452271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355666223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067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523177960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224440863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853642937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651596371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498351488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273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279220080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553271566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951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90271458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995258277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371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24252398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93137277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069158335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</w:divsChild>
    </w:div>
    <w:div w:id="133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99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560213292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308942897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679745603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629124990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2130319725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66989332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645815977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245647919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259874361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224372584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37384772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15430249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536937279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459447437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11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290628600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95771306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77046929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06719233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927007073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249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30836610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378672204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82405134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91924472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323434206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56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745734422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87969003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659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74614171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367558513">
          <w:marLeft w:val="3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983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23366027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1502695511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737172788">
          <w:marLeft w:val="450"/>
          <w:marRight w:val="0"/>
          <w:marTop w:val="90"/>
          <w:marBottom w:val="90"/>
          <w:divBdr>
            <w:top w:val="none" w:sz="0" w:space="0" w:color="auto"/>
            <w:left w:val="single" w:sz="36" w:space="2" w:color="C4BDB7"/>
            <w:bottom w:val="none" w:sz="0" w:space="0" w:color="auto"/>
            <w:right w:val="none" w:sz="0" w:space="0" w:color="auto"/>
          </w:divBdr>
        </w:div>
        <w:div w:id="475335863">
          <w:marLeft w:val="0"/>
          <w:marRight w:val="0"/>
          <w:marTop w:val="0"/>
          <w:marBottom w:val="225"/>
          <w:divBdr>
            <w:top w:val="single" w:sz="6" w:space="11" w:color="A79D96"/>
            <w:left w:val="single" w:sz="6" w:space="8" w:color="A79D96"/>
            <w:bottom w:val="single" w:sz="6" w:space="2" w:color="A79D96"/>
            <w:right w:val="single" w:sz="6" w:space="8" w:color="A79D96"/>
          </w:divBdr>
          <w:divsChild>
            <w:div w:id="46101836">
              <w:marLeft w:val="39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286">
          <w:marLeft w:val="0"/>
          <w:marRight w:val="0"/>
          <w:marTop w:val="0"/>
          <w:marBottom w:val="225"/>
          <w:divBdr>
            <w:top w:val="single" w:sz="6" w:space="11" w:color="A79D96"/>
            <w:left w:val="single" w:sz="6" w:space="8" w:color="A79D96"/>
            <w:bottom w:val="single" w:sz="6" w:space="2" w:color="A79D96"/>
            <w:right w:val="single" w:sz="6" w:space="8" w:color="A79D96"/>
          </w:divBdr>
          <w:divsChild>
            <w:div w:id="731588156">
              <w:marLeft w:val="39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ractif.ru/snip-na-stukaturku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tractif.ru/snip-na-stukaturk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ractif.ru/snip-na-stukaturku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2014-01-05T05:22:00Z</dcterms:created>
  <dcterms:modified xsi:type="dcterms:W3CDTF">2014-01-05T08:32:00Z</dcterms:modified>
</cp:coreProperties>
</file>